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610B" w14:textId="77777777" w:rsidR="00CC6A26" w:rsidRPr="00CC6A26" w:rsidRDefault="00CC6A26" w:rsidP="00CC6A26">
      <w:pPr>
        <w:pStyle w:val="NormalWeb"/>
        <w:spacing w:before="0" w:beforeAutospacing="0" w:after="0" w:afterAutospacing="0"/>
        <w:rPr>
          <w:rFonts w:ascii="Roboto" w:hAnsi="Roboto" w:cs="Arial"/>
          <w:color w:val="000000"/>
          <w:shd w:val="clear" w:color="auto" w:fill="FFFF00"/>
        </w:rPr>
      </w:pPr>
    </w:p>
    <w:p w14:paraId="7CE3685F" w14:textId="77777777" w:rsidR="00CC6A26" w:rsidRPr="00CC6A26" w:rsidRDefault="00CC6A26" w:rsidP="00CC6A26">
      <w:pPr>
        <w:pStyle w:val="NormalWeb"/>
        <w:spacing w:before="0" w:beforeAutospacing="0" w:after="0" w:afterAutospacing="0"/>
        <w:rPr>
          <w:rFonts w:ascii="Roboto" w:hAnsi="Roboto" w:cs="Arial"/>
          <w:color w:val="000000"/>
          <w:shd w:val="clear" w:color="auto" w:fill="FFFF00"/>
        </w:rPr>
      </w:pPr>
    </w:p>
    <w:p w14:paraId="07AEA4A6" w14:textId="77777777" w:rsidR="00CC6A26" w:rsidRPr="00CC6A26" w:rsidRDefault="00CC6A26" w:rsidP="00CC6A26">
      <w:pPr>
        <w:pStyle w:val="NormalWeb"/>
        <w:spacing w:before="0" w:beforeAutospacing="0" w:after="0" w:afterAutospacing="0"/>
        <w:rPr>
          <w:rFonts w:ascii="Roboto" w:hAnsi="Roboto" w:cs="Arial"/>
          <w:color w:val="000000"/>
          <w:shd w:val="clear" w:color="auto" w:fill="FFFF00"/>
        </w:rPr>
      </w:pPr>
    </w:p>
    <w:p w14:paraId="6CF30E80" w14:textId="486F5877" w:rsidR="00CC6A26" w:rsidRPr="00CC6A26" w:rsidRDefault="00CC6A26" w:rsidP="000552A5">
      <w:pPr>
        <w:rPr>
          <w:rFonts w:ascii="Roboto" w:hAnsi="Roboto"/>
          <w:sz w:val="24"/>
          <w:szCs w:val="24"/>
        </w:rPr>
      </w:pPr>
      <w:r w:rsidRPr="00CC6A26">
        <w:rPr>
          <w:rFonts w:ascii="Roboto" w:hAnsi="Roboto"/>
          <w:sz w:val="24"/>
          <w:szCs w:val="24"/>
        </w:rPr>
        <w:t>July 31, 2019</w:t>
      </w:r>
    </w:p>
    <w:p w14:paraId="43803125"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Secretary Alex Azar</w:t>
      </w:r>
    </w:p>
    <w:p w14:paraId="27EA40F8"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Department of Health and Human Services</w:t>
      </w:r>
    </w:p>
    <w:p w14:paraId="60CB2C7B"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Hubert H. Humphrey Building, Room 509F,</w:t>
      </w:r>
    </w:p>
    <w:p w14:paraId="6D7641F9"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200 Independence Avenue SW,</w:t>
      </w:r>
    </w:p>
    <w:p w14:paraId="6CCDDEBF"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Washington, DC 20201</w:t>
      </w:r>
    </w:p>
    <w:p w14:paraId="30E737CE" w14:textId="77777777" w:rsidR="00CC6A26" w:rsidRPr="00CC6A26" w:rsidRDefault="00CC6A26" w:rsidP="000552A5">
      <w:pPr>
        <w:rPr>
          <w:rFonts w:ascii="Roboto" w:hAnsi="Roboto"/>
          <w:sz w:val="24"/>
          <w:szCs w:val="24"/>
        </w:rPr>
      </w:pPr>
    </w:p>
    <w:p w14:paraId="31549B66"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Re: Section 1557 NPRM, RIN 0945-AA11, “Nondiscrimination in Health and Health</w:t>
      </w:r>
    </w:p>
    <w:p w14:paraId="15DA6F6D"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Education Programs or Activities”</w:t>
      </w:r>
    </w:p>
    <w:p w14:paraId="77F15421" w14:textId="77777777" w:rsidR="00CC6A26" w:rsidRPr="00CC6A26" w:rsidRDefault="00CC6A26" w:rsidP="000552A5">
      <w:pPr>
        <w:spacing w:after="240"/>
        <w:rPr>
          <w:rFonts w:ascii="Roboto" w:hAnsi="Roboto"/>
          <w:sz w:val="24"/>
          <w:szCs w:val="24"/>
        </w:rPr>
      </w:pPr>
    </w:p>
    <w:p w14:paraId="00356449" w14:textId="0C0CBF49"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rPr>
        <w:t xml:space="preserve">LGBT Life Center </w:t>
      </w:r>
      <w:r w:rsidRPr="00CC6A26">
        <w:rPr>
          <w:rFonts w:ascii="Roboto" w:hAnsi="Roboto" w:cs="Arial"/>
          <w:color w:val="000000"/>
        </w:rPr>
        <w:t xml:space="preserve">opposes the newly proposed regulation focusing on Section 1557 of the Health Care Rights Law.  It will jeopardize the health and </w:t>
      </w:r>
      <w:proofErr w:type="spellStart"/>
      <w:r w:rsidRPr="00CC6A26">
        <w:rPr>
          <w:rFonts w:ascii="Roboto" w:hAnsi="Roboto" w:cs="Arial"/>
          <w:color w:val="000000"/>
        </w:rPr>
        <w:t>well being</w:t>
      </w:r>
      <w:proofErr w:type="spellEnd"/>
      <w:r w:rsidRPr="00CC6A26">
        <w:rPr>
          <w:rFonts w:ascii="Roboto" w:hAnsi="Roboto" w:cs="Arial"/>
          <w:color w:val="000000"/>
        </w:rPr>
        <w:t xml:space="preserve"> of vulnerable populations such as the LGBTQ community.</w:t>
      </w:r>
    </w:p>
    <w:p w14:paraId="1B550662" w14:textId="77777777" w:rsidR="00CC6A26" w:rsidRPr="00CC6A26" w:rsidRDefault="00CC6A26" w:rsidP="000552A5">
      <w:pPr>
        <w:rPr>
          <w:rFonts w:ascii="Roboto" w:hAnsi="Roboto"/>
          <w:sz w:val="24"/>
          <w:szCs w:val="24"/>
        </w:rPr>
      </w:pPr>
    </w:p>
    <w:p w14:paraId="27E2AA7B"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 xml:space="preserve">If finalized, this proposed rule would severely threaten LGBTQ patients’ access to all forms of health care and create confusion among providers about their obligations. The proposed rule would encourage hospitals to deny care to LGBTQ </w:t>
      </w:r>
      <w:proofErr w:type="gramStart"/>
      <w:r w:rsidRPr="00CC6A26">
        <w:rPr>
          <w:rFonts w:ascii="Roboto" w:hAnsi="Roboto" w:cs="Arial"/>
          <w:color w:val="000000"/>
        </w:rPr>
        <w:t>people, and</w:t>
      </w:r>
      <w:proofErr w:type="gramEnd"/>
      <w:r w:rsidRPr="00CC6A26">
        <w:rPr>
          <w:rFonts w:ascii="Roboto" w:hAnsi="Roboto" w:cs="Arial"/>
          <w:color w:val="000000"/>
        </w:rPr>
        <w:t xml:space="preserve"> enable insurance companies to deny transgender people coverage for health care services that they cover for non-transgender people. This rule would also make it harder for people experiencing discrimination in health care to know and exercise their rights, including people with chronic health conditions like HIV. </w:t>
      </w:r>
    </w:p>
    <w:p w14:paraId="3DB3007C" w14:textId="77777777" w:rsidR="00CC6A26" w:rsidRPr="00CC6A26" w:rsidRDefault="00CC6A26" w:rsidP="000552A5">
      <w:pPr>
        <w:rPr>
          <w:rFonts w:ascii="Roboto" w:hAnsi="Roboto"/>
          <w:sz w:val="24"/>
          <w:szCs w:val="24"/>
        </w:rPr>
      </w:pPr>
    </w:p>
    <w:p w14:paraId="172659AF" w14:textId="77777777"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 xml:space="preserve">LGBTQ people who reported experiencing discrimination in the year prior were </w:t>
      </w:r>
      <w:hyperlink r:id="rId7" w:history="1">
        <w:r w:rsidRPr="00CC6A26">
          <w:rPr>
            <w:rStyle w:val="Hyperlink"/>
            <w:rFonts w:ascii="Roboto" w:hAnsi="Roboto" w:cs="Arial"/>
            <w:color w:val="1155CC"/>
          </w:rPr>
          <w:t xml:space="preserve">nearly 7 times </w:t>
        </w:r>
      </w:hyperlink>
      <w:r w:rsidRPr="00CC6A26">
        <w:rPr>
          <w:rFonts w:ascii="Roboto" w:hAnsi="Roboto" w:cs="Arial"/>
          <w:color w:val="000000"/>
        </w:rPr>
        <w:t xml:space="preserve">more likely to avoid doctor’s offices to avoid discrimination than LGBTQ people who had not experienced discrimination. An estimated 1 in 3 transgender people have </w:t>
      </w:r>
      <w:hyperlink r:id="rId8" w:history="1">
        <w:r w:rsidRPr="00CC6A26">
          <w:rPr>
            <w:rStyle w:val="Hyperlink"/>
            <w:rFonts w:ascii="Roboto" w:hAnsi="Roboto" w:cs="Arial"/>
            <w:color w:val="1155CC"/>
          </w:rPr>
          <w:t>experienced</w:t>
        </w:r>
      </w:hyperlink>
      <w:r w:rsidRPr="00CC6A26">
        <w:rPr>
          <w:rFonts w:ascii="Roboto" w:hAnsi="Roboto" w:cs="Arial"/>
          <w:color w:val="000000"/>
        </w:rPr>
        <w:t xml:space="preserve"> direct discrimination from a health care provider. Additionally, 41% of LGBTQ people </w:t>
      </w:r>
      <w:hyperlink r:id="rId9" w:history="1">
        <w:r w:rsidRPr="00CC6A26">
          <w:rPr>
            <w:rStyle w:val="Hyperlink"/>
            <w:rFonts w:ascii="Roboto" w:hAnsi="Roboto" w:cs="Arial"/>
            <w:color w:val="1155CC"/>
          </w:rPr>
          <w:t>surveyed</w:t>
        </w:r>
      </w:hyperlink>
      <w:r w:rsidRPr="00CC6A26">
        <w:rPr>
          <w:rFonts w:ascii="Roboto" w:hAnsi="Roboto" w:cs="Arial"/>
          <w:color w:val="000000"/>
        </w:rPr>
        <w:t xml:space="preserve"> living in nonmetropolitan areas said it would be “very difficult” or “not possible” to find the same type of service at a different hospital if they were turned away.</w:t>
      </w:r>
    </w:p>
    <w:p w14:paraId="354B50BD" w14:textId="77777777" w:rsidR="00CC6A26" w:rsidRPr="00CC6A26" w:rsidRDefault="00CC6A26" w:rsidP="000552A5">
      <w:pPr>
        <w:rPr>
          <w:rFonts w:ascii="Roboto" w:hAnsi="Roboto"/>
          <w:sz w:val="24"/>
          <w:szCs w:val="24"/>
        </w:rPr>
      </w:pPr>
    </w:p>
    <w:p w14:paraId="2277356C" w14:textId="77777777" w:rsidR="000552A5" w:rsidRDefault="000552A5" w:rsidP="000552A5">
      <w:pPr>
        <w:pStyle w:val="NormalWeb"/>
        <w:spacing w:before="0" w:beforeAutospacing="0" w:after="0" w:afterAutospacing="0" w:line="276" w:lineRule="auto"/>
        <w:rPr>
          <w:rFonts w:ascii="Roboto" w:hAnsi="Roboto" w:cs="Arial"/>
          <w:color w:val="000000"/>
        </w:rPr>
      </w:pPr>
    </w:p>
    <w:p w14:paraId="5F6346E3" w14:textId="54BAEF32" w:rsidR="00CC6A26" w:rsidRDefault="00CC6A26" w:rsidP="000552A5">
      <w:pPr>
        <w:pStyle w:val="NormalWeb"/>
        <w:spacing w:before="0" w:beforeAutospacing="0" w:after="0" w:afterAutospacing="0" w:line="276" w:lineRule="auto"/>
        <w:rPr>
          <w:rFonts w:ascii="Roboto" w:hAnsi="Roboto" w:cs="Arial"/>
          <w:color w:val="000000"/>
        </w:rPr>
      </w:pPr>
      <w:bookmarkStart w:id="0" w:name="_GoBack"/>
      <w:bookmarkEnd w:id="0"/>
      <w:r w:rsidRPr="00CC6A26">
        <w:rPr>
          <w:rFonts w:ascii="Roboto" w:hAnsi="Roboto" w:cs="Arial"/>
          <w:color w:val="000000"/>
        </w:rPr>
        <w:t>Due to these statistics, much of the work done at</w:t>
      </w:r>
      <w:r w:rsidRPr="00CC6A26">
        <w:rPr>
          <w:rFonts w:ascii="Roboto" w:hAnsi="Roboto" w:cs="Arial"/>
          <w:color w:val="000000"/>
        </w:rPr>
        <w:t xml:space="preserve"> LGBT Life Center </w:t>
      </w:r>
      <w:r w:rsidRPr="00CC6A26">
        <w:rPr>
          <w:rFonts w:ascii="Roboto" w:hAnsi="Roboto" w:cs="Arial"/>
          <w:color w:val="000000"/>
        </w:rPr>
        <w:t>focuse</w:t>
      </w:r>
      <w:r w:rsidRPr="00CC6A26">
        <w:rPr>
          <w:rFonts w:ascii="Roboto" w:hAnsi="Roboto" w:cs="Arial"/>
          <w:color w:val="000000"/>
        </w:rPr>
        <w:t>s</w:t>
      </w:r>
      <w:r w:rsidRPr="00CC6A26">
        <w:rPr>
          <w:rFonts w:ascii="Roboto" w:hAnsi="Roboto" w:cs="Arial"/>
          <w:color w:val="000000"/>
        </w:rPr>
        <w:t xml:space="preserve"> on connecting LGBTQ people to quality health care that addresses their specific needs – </w:t>
      </w:r>
    </w:p>
    <w:p w14:paraId="5DD7CE49" w14:textId="77777777" w:rsidR="00CC6A26" w:rsidRDefault="00CC6A26" w:rsidP="000552A5">
      <w:pPr>
        <w:pStyle w:val="NormalWeb"/>
        <w:spacing w:before="0" w:beforeAutospacing="0" w:after="0" w:afterAutospacing="0" w:line="276" w:lineRule="auto"/>
        <w:rPr>
          <w:rFonts w:ascii="Roboto" w:hAnsi="Roboto" w:cs="Arial"/>
          <w:color w:val="000000"/>
        </w:rPr>
      </w:pPr>
    </w:p>
    <w:p w14:paraId="304723D1" w14:textId="77777777" w:rsidR="00CC6A26" w:rsidRDefault="00CC6A26" w:rsidP="000552A5">
      <w:pPr>
        <w:pStyle w:val="NormalWeb"/>
        <w:spacing w:before="0" w:beforeAutospacing="0" w:after="0" w:afterAutospacing="0" w:line="276" w:lineRule="auto"/>
        <w:rPr>
          <w:rFonts w:ascii="Roboto" w:hAnsi="Roboto" w:cs="Arial"/>
          <w:color w:val="000000"/>
        </w:rPr>
      </w:pPr>
    </w:p>
    <w:p w14:paraId="1049A1E6" w14:textId="77777777" w:rsidR="00CC6A26" w:rsidRDefault="00CC6A26" w:rsidP="000552A5">
      <w:pPr>
        <w:pStyle w:val="NormalWeb"/>
        <w:spacing w:before="0" w:beforeAutospacing="0" w:after="0" w:afterAutospacing="0" w:line="276" w:lineRule="auto"/>
        <w:rPr>
          <w:rFonts w:ascii="Roboto" w:hAnsi="Roboto" w:cs="Arial"/>
          <w:color w:val="000000"/>
        </w:rPr>
      </w:pPr>
    </w:p>
    <w:p w14:paraId="2565250C" w14:textId="3435D56E"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cs="Arial"/>
          <w:color w:val="000000"/>
        </w:rPr>
        <w:t>including obtaining information on sexual health, support around HIV/AIDS, and hormone replacement therapy.</w:t>
      </w:r>
    </w:p>
    <w:p w14:paraId="344B14A7" w14:textId="77777777" w:rsidR="00CC6A26" w:rsidRPr="00CC6A26" w:rsidRDefault="00CC6A26" w:rsidP="000552A5">
      <w:pPr>
        <w:rPr>
          <w:rFonts w:ascii="Roboto" w:hAnsi="Roboto"/>
          <w:sz w:val="24"/>
          <w:szCs w:val="24"/>
        </w:rPr>
      </w:pPr>
    </w:p>
    <w:p w14:paraId="3F641599" w14:textId="6D398D2E" w:rsidR="00CC6A26" w:rsidRPr="00CC6A26" w:rsidRDefault="00CC6A26" w:rsidP="000552A5">
      <w:pPr>
        <w:pStyle w:val="NormalWeb"/>
        <w:spacing w:before="0" w:beforeAutospacing="0" w:after="0" w:afterAutospacing="0" w:line="276" w:lineRule="auto"/>
        <w:rPr>
          <w:rFonts w:ascii="Roboto" w:hAnsi="Roboto" w:cs="Arial"/>
          <w:color w:val="000000"/>
        </w:rPr>
      </w:pPr>
      <w:r w:rsidRPr="00CC6A26">
        <w:rPr>
          <w:rFonts w:ascii="Roboto" w:hAnsi="Roboto" w:cs="Arial"/>
          <w:color w:val="000000"/>
        </w:rPr>
        <w:t>Health care providers and insurers should not be encouraged to pick and choose who to treat. This attempt to override the needs of LGBTQ people, among others, contradicts decades of federal court interpretations of the law.</w:t>
      </w:r>
      <w:r w:rsidRPr="00CC6A26">
        <w:rPr>
          <w:rFonts w:ascii="Roboto" w:hAnsi="Roboto" w:cs="Arial"/>
          <w:color w:val="000000"/>
        </w:rPr>
        <w:t xml:space="preserve"> LGBT Life Center </w:t>
      </w:r>
      <w:r w:rsidRPr="00CC6A26">
        <w:rPr>
          <w:rFonts w:ascii="Roboto" w:hAnsi="Roboto" w:cs="Arial"/>
          <w:color w:val="000000"/>
        </w:rPr>
        <w:t>opposes the proposed regulation focused on changing Section 1557 of the Health Care Rights Law.</w:t>
      </w:r>
    </w:p>
    <w:p w14:paraId="7D9D5AA1" w14:textId="77777777" w:rsidR="00CC6A26" w:rsidRPr="00CC6A26" w:rsidRDefault="00CC6A26" w:rsidP="000552A5">
      <w:pPr>
        <w:rPr>
          <w:rFonts w:ascii="Roboto" w:hAnsi="Roboto"/>
          <w:sz w:val="24"/>
          <w:szCs w:val="24"/>
        </w:rPr>
      </w:pPr>
    </w:p>
    <w:p w14:paraId="18AAE0B4" w14:textId="6F32384C" w:rsidR="00CC6A26" w:rsidRPr="00CC6A26" w:rsidRDefault="00CC6A26" w:rsidP="000552A5">
      <w:pPr>
        <w:pStyle w:val="NormalWeb"/>
        <w:spacing w:before="0" w:beforeAutospacing="0" w:after="0" w:afterAutospacing="0" w:line="276" w:lineRule="auto"/>
        <w:rPr>
          <w:rFonts w:ascii="Roboto" w:hAnsi="Roboto" w:cs="Arial"/>
          <w:color w:val="000000"/>
        </w:rPr>
      </w:pPr>
      <w:r w:rsidRPr="00CC6A26">
        <w:rPr>
          <w:rFonts w:ascii="Roboto" w:hAnsi="Roboto" w:cs="Arial"/>
          <w:color w:val="000000"/>
        </w:rPr>
        <w:t>Sincerely,</w:t>
      </w:r>
    </w:p>
    <w:p w14:paraId="74A6A99A" w14:textId="38C56BA9" w:rsidR="00CC6A26" w:rsidRPr="00CC6A26" w:rsidRDefault="00CC6A26" w:rsidP="000552A5">
      <w:pPr>
        <w:pStyle w:val="NormalWeb"/>
        <w:spacing w:before="0" w:beforeAutospacing="0" w:after="0" w:afterAutospacing="0" w:line="276" w:lineRule="auto"/>
        <w:rPr>
          <w:rFonts w:ascii="Roboto" w:hAnsi="Roboto" w:cs="Arial"/>
          <w:color w:val="000000"/>
        </w:rPr>
      </w:pPr>
    </w:p>
    <w:p w14:paraId="08C00FD5" w14:textId="779E4EBB" w:rsidR="00CC6A26" w:rsidRPr="00CC6A26" w:rsidRDefault="00CC6A26" w:rsidP="000552A5">
      <w:pPr>
        <w:pStyle w:val="NormalWeb"/>
        <w:spacing w:before="0" w:beforeAutospacing="0" w:after="0" w:afterAutospacing="0" w:line="276" w:lineRule="auto"/>
        <w:rPr>
          <w:rFonts w:ascii="Roboto" w:hAnsi="Roboto"/>
        </w:rPr>
      </w:pPr>
      <w:r w:rsidRPr="00CC6A26">
        <w:rPr>
          <w:rFonts w:ascii="Roboto" w:hAnsi="Roboto"/>
          <w:noProof/>
        </w:rPr>
        <w:drawing>
          <wp:inline distT="0" distB="0" distL="0" distR="0" wp14:anchorId="0F3F6282" wp14:editId="2017E410">
            <wp:extent cx="21336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ie_Sig_Upd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812800"/>
                    </a:xfrm>
                    <a:prstGeom prst="rect">
                      <a:avLst/>
                    </a:prstGeom>
                  </pic:spPr>
                </pic:pic>
              </a:graphicData>
            </a:graphic>
          </wp:inline>
        </w:drawing>
      </w:r>
    </w:p>
    <w:p w14:paraId="7F4C0AE7" w14:textId="19A6B5D8" w:rsidR="00CC6A26" w:rsidRPr="00CC6A26" w:rsidRDefault="00CC6A26" w:rsidP="000552A5">
      <w:pPr>
        <w:rPr>
          <w:rFonts w:ascii="Roboto" w:hAnsi="Roboto"/>
          <w:sz w:val="24"/>
          <w:szCs w:val="24"/>
        </w:rPr>
      </w:pPr>
    </w:p>
    <w:p w14:paraId="2E8FD339" w14:textId="2A1127D7" w:rsidR="00CC6A26" w:rsidRPr="00CC6A26" w:rsidRDefault="00CC6A26" w:rsidP="000552A5">
      <w:pPr>
        <w:rPr>
          <w:rFonts w:ascii="Roboto" w:hAnsi="Roboto"/>
          <w:sz w:val="24"/>
          <w:szCs w:val="24"/>
        </w:rPr>
      </w:pPr>
      <w:r w:rsidRPr="00CC6A26">
        <w:rPr>
          <w:rFonts w:ascii="Roboto" w:hAnsi="Roboto"/>
          <w:sz w:val="24"/>
          <w:szCs w:val="24"/>
        </w:rPr>
        <w:t>Stacie Walls</w:t>
      </w:r>
      <w:r w:rsidRPr="00CC6A26">
        <w:rPr>
          <w:rFonts w:ascii="Roboto" w:hAnsi="Roboto"/>
          <w:sz w:val="24"/>
          <w:szCs w:val="24"/>
        </w:rPr>
        <w:br/>
        <w:t>CEO, LGBT Life Center</w:t>
      </w:r>
    </w:p>
    <w:p w14:paraId="028DE9FA" w14:textId="450D1E24" w:rsidR="00887631" w:rsidRPr="00CC6A26" w:rsidRDefault="00887631" w:rsidP="00CC6A26">
      <w:pPr>
        <w:rPr>
          <w:rFonts w:ascii="Roboto" w:hAnsi="Roboto"/>
          <w:sz w:val="24"/>
          <w:szCs w:val="24"/>
        </w:rPr>
      </w:pPr>
    </w:p>
    <w:sectPr w:rsidR="00887631" w:rsidRPr="00CC6A26" w:rsidSect="00D512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D478" w14:textId="77777777" w:rsidR="0077542F" w:rsidRDefault="0077542F" w:rsidP="00294826">
      <w:pPr>
        <w:spacing w:after="0" w:line="240" w:lineRule="auto"/>
      </w:pPr>
      <w:r>
        <w:separator/>
      </w:r>
    </w:p>
  </w:endnote>
  <w:endnote w:type="continuationSeparator" w:id="0">
    <w:p w14:paraId="35827473" w14:textId="77777777" w:rsidR="0077542F" w:rsidRDefault="0077542F"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Poppins SemiBold">
    <w:panose1 w:val="02000000000000000000"/>
    <w:charset w:val="4D"/>
    <w:family w:val="auto"/>
    <w:pitch w:val="variable"/>
    <w:sig w:usb0="00008007" w:usb1="00000000" w:usb2="00000000" w:usb3="00000000" w:csb0="00000093" w:csb1="00000000"/>
  </w:font>
  <w:font w:name="Poppins">
    <w:panose1 w:val="02000000000000000000"/>
    <w:charset w:val="4D"/>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5EB3" w14:textId="77777777" w:rsidR="00294826" w:rsidRDefault="00240A69" w:rsidP="00240A69">
    <w:pPr>
      <w:pStyle w:val="Footer"/>
      <w:tabs>
        <w:tab w:val="clear" w:pos="9360"/>
        <w:tab w:val="right" w:pos="9450"/>
      </w:tabs>
      <w:ind w:right="-90"/>
      <w:jc w:val="center"/>
      <w:rPr>
        <w:rFonts w:ascii="Poppins SemiBold" w:hAnsi="Poppins SemiBold" w:cs="Poppins SemiBold"/>
        <w:sz w:val="32"/>
        <w:szCs w:val="32"/>
        <w:vertAlign w:val="subscript"/>
      </w:rPr>
    </w:pPr>
    <w:r>
      <w:rPr>
        <w:rFonts w:ascii="Poppins SemiBold" w:hAnsi="Poppins SemiBold" w:cs="Poppins SemiBold"/>
        <w:sz w:val="32"/>
        <w:szCs w:val="32"/>
        <w:vertAlign w:val="subscript"/>
      </w:rPr>
      <w:t xml:space="preserve">       </w:t>
    </w:r>
    <w:r>
      <w:rPr>
        <w:rFonts w:ascii="Poppins SemiBold" w:hAnsi="Poppins SemiBold" w:cs="Poppins SemiBold"/>
        <w:sz w:val="32"/>
        <w:szCs w:val="32"/>
        <w:vertAlign w:val="subscript"/>
      </w:rPr>
      <w:tab/>
      <w:t xml:space="preserve">                                                                                                                          </w:t>
    </w:r>
    <w:r w:rsidR="000874C0" w:rsidRPr="000874C0">
      <w:rPr>
        <w:rFonts w:ascii="Poppins SemiBold" w:hAnsi="Poppins SemiBold" w:cs="Poppins SemiBold"/>
        <w:sz w:val="32"/>
        <w:szCs w:val="32"/>
        <w:vertAlign w:val="subscript"/>
      </w:rPr>
      <w:t>LGBT Life Center</w:t>
    </w:r>
  </w:p>
  <w:p w14:paraId="1CC3D411" w14:textId="77777777" w:rsidR="000874C0" w:rsidRDefault="000874C0" w:rsidP="000874C0">
    <w:pPr>
      <w:jc w:val="right"/>
    </w:pPr>
    <w:r w:rsidRPr="000874C0">
      <w:t xml:space="preserve">222 </w:t>
    </w:r>
    <w:r w:rsidR="00240A69">
      <w:t>W</w:t>
    </w:r>
    <w:r w:rsidRPr="000874C0">
      <w:t>. 21st Street</w:t>
    </w:r>
    <w:r>
      <w:t>, F-308</w:t>
    </w:r>
    <w:r>
      <w:br/>
    </w:r>
    <w:r w:rsidRPr="000874C0">
      <w:t>Norfolk, VA 23517</w:t>
    </w:r>
  </w:p>
  <w:p w14:paraId="1FAB5E41" w14:textId="77777777" w:rsidR="000874C0" w:rsidRPr="000874C0" w:rsidRDefault="000874C0" w:rsidP="000874C0">
    <w:pPr>
      <w:jc w:val="right"/>
      <w:rPr>
        <w:rFonts w:ascii="Poppins" w:hAnsi="Poppins" w:cs="Poppins"/>
        <w:sz w:val="32"/>
        <w:szCs w:val="32"/>
      </w:rPr>
    </w:pPr>
    <w:r w:rsidRPr="000874C0">
      <w:rPr>
        <w:rFonts w:ascii="Poppins" w:hAnsi="Poppins" w:cs="Poppins"/>
        <w:sz w:val="32"/>
        <w:szCs w:val="32"/>
      </w:rPr>
      <w:t>lgbtlifecenter.org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E7CC" w14:textId="77777777" w:rsidR="0077542F" w:rsidRDefault="0077542F" w:rsidP="00294826">
      <w:pPr>
        <w:spacing w:after="0" w:line="240" w:lineRule="auto"/>
      </w:pPr>
      <w:r>
        <w:separator/>
      </w:r>
    </w:p>
  </w:footnote>
  <w:footnote w:type="continuationSeparator" w:id="0">
    <w:p w14:paraId="0EF9F240" w14:textId="77777777" w:rsidR="0077542F" w:rsidRDefault="0077542F" w:rsidP="0029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13C8" w14:textId="77777777" w:rsidR="00294826" w:rsidRDefault="00294826" w:rsidP="003F475E">
    <w:pPr>
      <w:pStyle w:val="Header"/>
    </w:pPr>
    <w:r>
      <w:rPr>
        <w:noProof/>
      </w:rPr>
      <w:drawing>
        <wp:anchor distT="0" distB="0" distL="114300" distR="114300" simplePos="0" relativeHeight="251658240" behindDoc="0" locked="0" layoutInCell="1" allowOverlap="1" wp14:anchorId="6AD83DD7" wp14:editId="04C96309">
          <wp:simplePos x="0" y="0"/>
          <wp:positionH relativeFrom="column">
            <wp:posOffset>0</wp:posOffset>
          </wp:positionH>
          <wp:positionV relativeFrom="paragraph">
            <wp:posOffset>-219075</wp:posOffset>
          </wp:positionV>
          <wp:extent cx="2147977" cy="90141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7" cy="90141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F9"/>
    <w:rsid w:val="000552A5"/>
    <w:rsid w:val="000874C0"/>
    <w:rsid w:val="000D255F"/>
    <w:rsid w:val="001C55E0"/>
    <w:rsid w:val="001D07BD"/>
    <w:rsid w:val="00240A69"/>
    <w:rsid w:val="00264CEC"/>
    <w:rsid w:val="00294826"/>
    <w:rsid w:val="002D4889"/>
    <w:rsid w:val="003934C5"/>
    <w:rsid w:val="003B0C77"/>
    <w:rsid w:val="003F475E"/>
    <w:rsid w:val="00493B94"/>
    <w:rsid w:val="00494757"/>
    <w:rsid w:val="004A2EC2"/>
    <w:rsid w:val="005166CC"/>
    <w:rsid w:val="005605A6"/>
    <w:rsid w:val="00592A4A"/>
    <w:rsid w:val="005C23F8"/>
    <w:rsid w:val="00663FF4"/>
    <w:rsid w:val="006C5DFA"/>
    <w:rsid w:val="006E06EA"/>
    <w:rsid w:val="0077542F"/>
    <w:rsid w:val="00797558"/>
    <w:rsid w:val="007D35AB"/>
    <w:rsid w:val="00802EAE"/>
    <w:rsid w:val="00835C0D"/>
    <w:rsid w:val="00836197"/>
    <w:rsid w:val="00887631"/>
    <w:rsid w:val="00944E16"/>
    <w:rsid w:val="00967AF9"/>
    <w:rsid w:val="00A3666E"/>
    <w:rsid w:val="00CC6A26"/>
    <w:rsid w:val="00D5124B"/>
    <w:rsid w:val="00D7293A"/>
    <w:rsid w:val="00E80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8A21"/>
  <w15:docId w15:val="{CC56104B-F042-544C-84D4-011B502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592A4A"/>
    <w:rPr>
      <w:color w:val="0000FF"/>
      <w:u w:val="single"/>
    </w:rPr>
  </w:style>
  <w:style w:type="paragraph" w:styleId="NormalWeb">
    <w:name w:val="Normal (Web)"/>
    <w:basedOn w:val="Normal"/>
    <w:uiPriority w:val="99"/>
    <w:semiHidden/>
    <w:unhideWhenUsed/>
    <w:rsid w:val="00CC6A2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0896">
      <w:bodyDiv w:val="1"/>
      <w:marLeft w:val="0"/>
      <w:marRight w:val="0"/>
      <w:marTop w:val="0"/>
      <w:marBottom w:val="0"/>
      <w:divBdr>
        <w:top w:val="none" w:sz="0" w:space="0" w:color="auto"/>
        <w:left w:val="none" w:sz="0" w:space="0" w:color="auto"/>
        <w:bottom w:val="none" w:sz="0" w:space="0" w:color="auto"/>
        <w:right w:val="none" w:sz="0" w:space="0" w:color="auto"/>
      </w:divBdr>
    </w:div>
    <w:div w:id="168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ranssurve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canprogress.org/issues/lgbt/news/2018/01/18/445130/discrimination-prevents-lgbtq-people-accessing-health-ca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mericanprogress.org/issues/lgbt/news/2018/01/18/445130/discrimination-prevents-lgbtq-people-accessing-health-ca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56C7-A457-604E-B56E-CB568E71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2</cp:revision>
  <cp:lastPrinted>2017-06-20T12:55:00Z</cp:lastPrinted>
  <dcterms:created xsi:type="dcterms:W3CDTF">2019-07-31T16:08:00Z</dcterms:created>
  <dcterms:modified xsi:type="dcterms:W3CDTF">2019-07-31T16:08:00Z</dcterms:modified>
</cp:coreProperties>
</file>